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inDrive Entregas</w:t>
      </w:r>
      <w:r w:rsidDel="00000000" w:rsidR="00000000" w:rsidRPr="00000000">
        <w:rPr>
          <w:b w:val="1"/>
          <w:sz w:val="28"/>
          <w:szCs w:val="28"/>
          <w:rtl w:val="0"/>
        </w:rPr>
        <w:t xml:space="preserve"> Mejora la Seguridad de los Mensajeros con la Distribución de Equipamiento en 4 Ciudades del País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La empresa brindó 450 bolsas térmicas, chamarras reflejantes y cascos de protección, priorizando la seguridad y eficiencia de su servicio. </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México, a 29 de abril de 2024 - </w:t>
      </w:r>
      <w:r w:rsidDel="00000000" w:rsidR="00000000" w:rsidRPr="00000000">
        <w:rPr>
          <w:rtl w:val="0"/>
        </w:rPr>
        <w:t xml:space="preserve">Con más de </w:t>
      </w:r>
      <w:r w:rsidDel="00000000" w:rsidR="00000000" w:rsidRPr="00000000">
        <w:rPr>
          <w:b w:val="1"/>
          <w:rtl w:val="0"/>
        </w:rPr>
        <w:t xml:space="preserve">63 millones de consumidores </w:t>
      </w:r>
      <w:r w:rsidDel="00000000" w:rsidR="00000000" w:rsidRPr="00000000">
        <w:rPr>
          <w:b w:val="1"/>
          <w:i w:val="1"/>
          <w:rtl w:val="0"/>
        </w:rPr>
        <w:t xml:space="preserve">online</w:t>
      </w:r>
      <w:r w:rsidDel="00000000" w:rsidR="00000000" w:rsidRPr="00000000">
        <w:rPr>
          <w:rtl w:val="0"/>
        </w:rPr>
        <w:t xml:space="preserve"> (lo que representa casi la mitad de la población), México se coloca como uno de los países donde el comercio electrónico crece a mayor ritmo a nivel global.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Algunos de los factores que contribuyen al sólido mercado de comercio electrónico en el país incluyen la creciente penetración de Internet y la confianza que las personas han puesto en las compras en línea. Así, tenemos que </w:t>
      </w:r>
      <w:r w:rsidDel="00000000" w:rsidR="00000000" w:rsidRPr="00000000">
        <w:rPr>
          <w:b w:val="1"/>
          <w:rtl w:val="0"/>
        </w:rPr>
        <w:t xml:space="preserve">la Ciudad de México concentra el mayor volumen de entregas </w:t>
      </w:r>
      <w:r w:rsidDel="00000000" w:rsidR="00000000" w:rsidRPr="00000000">
        <w:rPr>
          <w:b w:val="1"/>
          <w:i w:val="1"/>
          <w:rtl w:val="0"/>
        </w:rPr>
        <w:t xml:space="preserve">online</w:t>
      </w:r>
      <w:r w:rsidDel="00000000" w:rsidR="00000000" w:rsidRPr="00000000">
        <w:rPr>
          <w:rtl w:val="0"/>
        </w:rPr>
        <w:t xml:space="preserve">, seguida de Nuevo León y Jalisco para conformar el Top 3.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este contexto, e</w:t>
      </w:r>
      <w:r w:rsidDel="00000000" w:rsidR="00000000" w:rsidRPr="00000000">
        <w:rPr>
          <w:rtl w:val="0"/>
        </w:rPr>
        <w:t xml:space="preserve">n un esfuerzo para priorizar la seguridad y la eficiencia de su vertical de Entregas, </w:t>
      </w:r>
      <w:r w:rsidDel="00000000" w:rsidR="00000000" w:rsidRPr="00000000">
        <w:rPr>
          <w:b w:val="1"/>
          <w:rtl w:val="0"/>
        </w:rPr>
        <w:t xml:space="preserve">inDrive</w:t>
      </w:r>
      <w:r w:rsidDel="00000000" w:rsidR="00000000" w:rsidRPr="00000000">
        <w:rPr>
          <w:rtl w:val="0"/>
        </w:rPr>
        <w:t xml:space="preserve">, la aplicación de movilidad y servicios urbanos ha emprendido una importante iniciativa al distribuir un total de </w:t>
      </w:r>
      <w:r w:rsidDel="00000000" w:rsidR="00000000" w:rsidRPr="00000000">
        <w:rPr>
          <w:b w:val="1"/>
          <w:rtl w:val="0"/>
        </w:rPr>
        <w:t xml:space="preserve">5</w:t>
      </w:r>
      <w:r w:rsidDel="00000000" w:rsidR="00000000" w:rsidRPr="00000000">
        <w:rPr>
          <w:b w:val="1"/>
          <w:rtl w:val="0"/>
        </w:rPr>
        <w:t xml:space="preserve">40 </w:t>
      </w:r>
      <w:r w:rsidDel="00000000" w:rsidR="00000000" w:rsidRPr="00000000">
        <w:rPr>
          <w:b w:val="1"/>
          <w:rtl w:val="0"/>
        </w:rPr>
        <w:t xml:space="preserve">bolsas térmicas, chamarras reflejantes y cascos de protección</w:t>
      </w:r>
      <w:r w:rsidDel="00000000" w:rsidR="00000000" w:rsidRPr="00000000">
        <w:rPr>
          <w:rtl w:val="0"/>
        </w:rPr>
        <w:t xml:space="preserve"> en la Ciudad de México, Guadalajara, Saltillo y Hermosillo.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Como parte del compromiso de la empresa con la confiabilidad, estadísticas recientes subrayan la magnitud de sus operaciones: Durante el mes de marzo de 2024, la compañía facilitó con éxito más de</w:t>
      </w:r>
      <w:r w:rsidDel="00000000" w:rsidR="00000000" w:rsidRPr="00000000">
        <w:rPr>
          <w:rtl w:val="0"/>
        </w:rPr>
        <w:t xml:space="preserve"> </w:t>
      </w:r>
      <w:r w:rsidDel="00000000" w:rsidR="00000000" w:rsidRPr="00000000">
        <w:rPr>
          <w:b w:val="1"/>
          <w:rtl w:val="0"/>
        </w:rPr>
        <w:t xml:space="preserve">90,000 servicios de entregas a lo largo del país</w:t>
      </w:r>
      <w:r w:rsidDel="00000000" w:rsidR="00000000" w:rsidRPr="00000000">
        <w:rPr>
          <w:rtl w:val="0"/>
        </w:rPr>
        <w:t xml:space="preserve">, reforzando su estatus como un actor fundamental en el panorama del transporte urbano.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rtl w:val="0"/>
        </w:rPr>
        <w:t xml:space="preserve">El reparto de este equipamiento representa un movimiento estratégico por parte de inDrive para proteger a las personas que realizan entregas, mejorando su visibilidad en las calles y reduciendo así el riesgo de accidentes.</w:t>
      </w:r>
      <w:r w:rsidDel="00000000" w:rsidR="00000000" w:rsidRPr="00000000">
        <w:rPr>
          <w:rtl w:val="0"/>
        </w:rPr>
        <w:t xml:space="preserve"> También, brinda certeza a los clientes, al facilitar la identificación de los repartidores con la marca de inDrive”, afirmó </w:t>
      </w:r>
      <w:r w:rsidDel="00000000" w:rsidR="00000000" w:rsidRPr="00000000">
        <w:rPr>
          <w:b w:val="1"/>
          <w:rtl w:val="0"/>
        </w:rPr>
        <w:t xml:space="preserve">Daniel Pardo Figueroa, especialista de desarrollo de negocios de inDrive Entregas</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Más allá de estas acciones, la compañía se distingue por su compromiso inquebrantable con los precios justos, garantizando el mayor valor por su dinero tanto a los clientes como a los mensajeros. Además, la posibilidad de realizar las entregas las 24 horas del día brinda comodidad a los clientes y proporciona oportunidades de generar ingresos adicionales para los usuarios independientes.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pacing w:line="276" w:lineRule="auto"/>
        <w:rPr>
          <w:b w:val="1"/>
          <w:sz w:val="20"/>
          <w:szCs w:val="20"/>
        </w:rPr>
      </w:pPr>
      <w:r w:rsidDel="00000000" w:rsidR="00000000" w:rsidRPr="00000000">
        <w:rPr>
          <w:b w:val="1"/>
          <w:sz w:val="20"/>
          <w:szCs w:val="20"/>
          <w:rtl w:val="0"/>
        </w:rPr>
        <w:t xml:space="preserve">Acerca de inDrive </w:t>
      </w:r>
    </w:p>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inDrive es una plataforma global de movilidad y servicios urbanos. La aplicación de inDrive ha sido descargada más de 200 millones de veces y fue la segunda app de movilidad más descargada en 2022 y 2023. Además de viajes, </w:t>
      </w:r>
      <w:r w:rsidDel="00000000" w:rsidR="00000000" w:rsidRPr="00000000">
        <w:rPr>
          <w:sz w:val="20"/>
          <w:szCs w:val="20"/>
          <w:rtl w:val="0"/>
        </w:rPr>
        <w:t xml:space="preserve">inDrive</w:t>
      </w:r>
      <w:r w:rsidDel="00000000" w:rsidR="00000000" w:rsidRPr="00000000">
        <w:rPr>
          <w:sz w:val="20"/>
          <w:szCs w:val="20"/>
          <w:rtl w:val="0"/>
        </w:rPr>
        <w:t xml:space="preserve"> ofrece una extensa lista de servicios urbanos, incluyendo transporte ciudad a ciudad, fletes, servicios de asistencia y entregas. En 2023, inDrive lanzó New Ventures, su brazo de capital de riesgo y </w:t>
      </w:r>
      <w:r w:rsidDel="00000000" w:rsidR="00000000" w:rsidRPr="00000000">
        <w:rPr>
          <w:sz w:val="20"/>
          <w:szCs w:val="20"/>
          <w:rtl w:val="0"/>
        </w:rPr>
        <w:t xml:space="preserve">M&amp;A</w:t>
      </w:r>
      <w:r w:rsidDel="00000000" w:rsidR="00000000" w:rsidRPr="00000000">
        <w:rPr>
          <w:sz w:val="20"/>
          <w:szCs w:val="20"/>
          <w:rtl w:val="0"/>
        </w:rPr>
        <w:t xml:space="preserve">. </w:t>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sz w:val="20"/>
          <w:szCs w:val="20"/>
          <w:rtl w:val="0"/>
        </w:rPr>
        <w:t xml:space="preserve">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7">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76" w:lineRule="auto"/>
      <w:jc w:val="center"/>
      <w:rPr>
        <w:rFonts w:ascii="Helvetica Neue" w:cs="Helvetica Neue" w:eastAsia="Helvetica Neue" w:hAnsi="Helvetica Neue"/>
        <w:b w:val="1"/>
        <w:sz w:val="20"/>
        <w:szCs w:val="20"/>
      </w:rPr>
    </w:pPr>
    <w:r w:rsidDel="00000000" w:rsidR="00000000" w:rsidRPr="00000000">
      <w:rPr/>
      <w:drawing>
        <wp:inline distB="114300" distT="114300" distL="114300" distR="114300">
          <wp:extent cx="1828800" cy="81153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8800" cy="81153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Montserrat" w:cs="Montserrat" w:eastAsia="Montserrat" w:hAnsi="Montserrat"/>
        <w:b w:val="1"/>
        <w:color w:val="cc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Qf6cGghzyxt7wO5JrW8g+YDGA==">CgMxLjA4AGokChRzdWdnZXN0LjgyOXllbXlrOWFpdxIMRWR1YXJkbyBBYnVkciExelduUldlUjY4ajBXczRuZllRUTdjNHFPV0UxT3oxazA=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